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F24" w:rsidRPr="00121F35" w:rsidRDefault="003B6F24" w:rsidP="00121F35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21F3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Значение судимости при трудоустройстве</w:t>
      </w:r>
    </w:p>
    <w:p w:rsidR="003B6F24" w:rsidRPr="00121F35" w:rsidRDefault="003B6F24" w:rsidP="00121F35">
      <w:pPr>
        <w:shd w:val="clear" w:color="auto" w:fill="FFFFFF"/>
        <w:spacing w:after="0" w:line="240" w:lineRule="auto"/>
        <w:ind w:firstLine="709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Roboto" w:eastAsia="Times New Roman" w:hAnsi="Roboto" w:cs="Times New Roman"/>
          <w:sz w:val="24"/>
          <w:szCs w:val="24"/>
          <w:lang w:eastAsia="ru-RU"/>
        </w:rPr>
        <w:t> </w:t>
      </w:r>
      <w:r w:rsidR="007B4713" w:rsidRPr="00121F35">
        <w:rPr>
          <w:rFonts w:ascii="Roboto" w:eastAsia="Times New Roman" w:hAnsi="Roboto" w:cs="Times New Roman"/>
          <w:sz w:val="24"/>
          <w:szCs w:val="24"/>
          <w:shd w:val="clear" w:color="auto" w:fill="1E3685"/>
          <w:lang w:eastAsia="ru-RU"/>
        </w:rPr>
        <w:t xml:space="preserve"> </w:t>
      </w:r>
      <w:proofErr w:type="gramStart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65 Трудового кодекса Российской Федерации (далее – ТК РФ) если закон содержит запрет для судимых на работу в определенной отрасли или должности, то при поступлении на работу гражданин предъявляет работодателю справку о наличии (отсутствии) судимости и факта уголовного преследования.</w:t>
      </w:r>
      <w:proofErr w:type="gramEnd"/>
    </w:p>
    <w:p w:rsidR="003B6F24" w:rsidRPr="00121F35" w:rsidRDefault="003B6F24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имеющие или имевшие судимость, не имеют права заниматься:</w:t>
      </w:r>
    </w:p>
    <w:p w:rsidR="003B6F24" w:rsidRPr="00121F35" w:rsidRDefault="003B6F24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педагогической деятельностью (статья 331 ТК РФ);</w:t>
      </w:r>
    </w:p>
    <w:p w:rsidR="003B6F24" w:rsidRPr="00121F35" w:rsidRDefault="003B6F24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деятельностью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детско-юношеского спорта, культуры и искусства несовершеннолетних (статья 351.1 ТК РФ).</w:t>
      </w:r>
    </w:p>
    <w:p w:rsidR="003B6F24" w:rsidRPr="00121F35" w:rsidRDefault="003B6F24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Лица, имеющие непогашенную или неснятую судимость за совершение умышленного преступления, не вправе:</w:t>
      </w:r>
    </w:p>
    <w:p w:rsidR="003B6F24" w:rsidRPr="00121F35" w:rsidRDefault="003B6F24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работы, непосредственно связанные с транспортной безопасностью (статья 10 Федерального закона от 09.02.2007 № 16-ФЗ «О транспортной безопасности»);</w:t>
      </w:r>
    </w:p>
    <w:p w:rsidR="003B6F24" w:rsidRPr="00121F35" w:rsidRDefault="003B6F24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занимать должность специалиста авиационного персонала и службы авиационной безопасности (статья 52 Воздушного Кодекса Российской Федерации);</w:t>
      </w:r>
    </w:p>
    <w:p w:rsidR="003B6F24" w:rsidRPr="00121F35" w:rsidRDefault="003B6F24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- быть гражданским служащим (статья 16 Федерального закона от 27.07.2004 № 79-ФЗ «О государственной гражданской службе Российской Федерации»);</w:t>
      </w:r>
    </w:p>
    <w:p w:rsidR="003B6F24" w:rsidRPr="00121F35" w:rsidRDefault="003B6F24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- быть призванным на военную службу или проходить военную службу по контракту (статьи 23, 34 Федерального закона от 28.03.1998 № 53-ФЗ «О воинской обязанности и военной службе»).</w:t>
      </w:r>
    </w:p>
    <w:p w:rsidR="003B6F24" w:rsidRPr="00121F35" w:rsidRDefault="003B6F24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имеющие неснятую или непогашенную судимость за преступления в сфере экономики или преступления против государственной власти, не могут:</w:t>
      </w:r>
    </w:p>
    <w:p w:rsidR="003B6F24" w:rsidRPr="00121F35" w:rsidRDefault="003B6F24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в организациях - профессиональных участниках рынка ценных бумаг (статья 10.1 Федерального закона от 22.04.1996 № 39-ФЗ «О рынке ценных бумаг»).</w:t>
      </w:r>
    </w:p>
    <w:p w:rsidR="003B6F24" w:rsidRPr="00121F35" w:rsidRDefault="003B6F24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имеющие судимость (в том числе снятую и погашенную), не могут быть трудоустроены:</w:t>
      </w:r>
    </w:p>
    <w:p w:rsidR="003B6F24" w:rsidRPr="00121F35" w:rsidRDefault="003B6F24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прокуратуру (статья 40.1 Федерального закона от 17.01.1992 № 2202-1 «О прокуратуре Российской Федерации»);</w:t>
      </w:r>
    </w:p>
    <w:p w:rsidR="003B6F24" w:rsidRPr="00121F35" w:rsidRDefault="003B6F24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органы ФСБ (статья 16 Федерального закона от 03.04.1995 № 40-ФЗ «О федеральной службе безопасности»).</w:t>
      </w:r>
    </w:p>
    <w:p w:rsidR="003B6F24" w:rsidRPr="00121F35" w:rsidRDefault="003B6F24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Только прямой запрет, установленный законом, является препятствием для трудоустройства ранее </w:t>
      </w:r>
      <w:proofErr w:type="gramStart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судимых</w:t>
      </w:r>
      <w:proofErr w:type="gramEnd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на конкретную работу. В иных случаях отказ в трудоустройстве из-за судимости является незаконным.</w:t>
      </w:r>
    </w:p>
    <w:p w:rsidR="003B6F24" w:rsidRPr="00121F35" w:rsidRDefault="003B6F24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Roboto" w:eastAsia="Times New Roman" w:hAnsi="Roboto" w:cs="Times New Roman"/>
          <w:sz w:val="24"/>
          <w:szCs w:val="24"/>
          <w:lang w:eastAsia="ru-RU"/>
        </w:rPr>
        <w:t> </w:t>
      </w:r>
      <w:bookmarkStart w:id="0" w:name="_GoBack"/>
      <w:bookmarkEnd w:id="0"/>
    </w:p>
    <w:p w:rsidR="00FA4FD9" w:rsidRPr="00121F35" w:rsidRDefault="007B4713" w:rsidP="00121F35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21F35">
        <w:rPr>
          <w:rFonts w:ascii="Times New Roman" w:hAnsi="Times New Roman" w:cs="Times New Roman"/>
          <w:sz w:val="24"/>
          <w:szCs w:val="24"/>
        </w:rPr>
        <w:t xml:space="preserve"> </w:t>
      </w:r>
      <w:r w:rsidR="00FA4FD9" w:rsidRPr="00121F3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Изменен порядок освидетельствования лица, управляющего транспортным средством, на состояние алкогольного опьянения</w:t>
      </w:r>
    </w:p>
    <w:p w:rsidR="00FA4FD9" w:rsidRPr="00121F35" w:rsidRDefault="00FA4FD9" w:rsidP="004F45E3">
      <w:pPr>
        <w:shd w:val="clear" w:color="auto" w:fill="FFFFFF"/>
        <w:spacing w:after="0" w:line="240" w:lineRule="auto"/>
        <w:ind w:firstLine="709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Roboto" w:eastAsia="Times New Roman" w:hAnsi="Roboto" w:cs="Times New Roman"/>
          <w:sz w:val="24"/>
          <w:szCs w:val="24"/>
          <w:lang w:eastAsia="ru-RU"/>
        </w:rPr>
        <w:t> </w:t>
      </w:r>
      <w:r w:rsidRPr="00121F35">
        <w:rPr>
          <w:rFonts w:ascii="Roboto" w:eastAsia="Times New Roman" w:hAnsi="Roboto" w:cs="Times New Roman"/>
          <w:sz w:val="24"/>
          <w:szCs w:val="24"/>
          <w:shd w:val="clear" w:color="auto" w:fill="1E3685"/>
          <w:lang w:eastAsia="ru-RU"/>
        </w:rPr>
        <w:t xml:space="preserve"> </w:t>
      </w: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Российской Федерации от 21.10.2022 № 1882 с 01.03.2023 установлен новый порядок освидетельствования лица, управляющего транспортным средством, на состояние алкогольного опьянения и оформления его результатов, направления на медицинское освидетельствование.</w:t>
      </w:r>
    </w:p>
    <w:p w:rsidR="00FA4FD9" w:rsidRPr="00121F35" w:rsidRDefault="00FA4FD9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Так, перед освидетельствованием должностное лицо информирует водителя о порядке освидетельствования с применением средства измерений (в соответствии с руководством по эксплуатации средств измерений), наличии сведений о результатах поверки данного средства измерений в Федеральном информационном фонде по обеспечению единства измерений.</w:t>
      </w:r>
    </w:p>
    <w:p w:rsidR="00FA4FD9" w:rsidRPr="00121F35" w:rsidRDefault="00FA4FD9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показания прибора будет более 0,16 мг на один литр выдыхаемого воздуха, а водитель откажется признавать итоги освидетельствования, он будет доставлен в медучреждение в присутствии 2 понятых либо с применением видеозаписи.</w:t>
      </w:r>
    </w:p>
    <w:p w:rsidR="00FA4FD9" w:rsidRPr="00121F35" w:rsidRDefault="00FA4FD9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водитель будет доставлен в медучреждение и при отказе от освидетельствования. При этом в случае отказа пройти медицинское исследование на </w:t>
      </w: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предмет опьянения к лицу могут быть применены санкции статьи 12.26 Кодекса Российской Федерации об административных правонарушениях (административный штраф с лишением права управления транспортными средствами на срок от 1,5 до 2 лет; административный арест на срок от 10 до 15 суток).</w:t>
      </w:r>
    </w:p>
    <w:p w:rsidR="00FA4FD9" w:rsidRPr="00121F35" w:rsidRDefault="00FA4FD9" w:rsidP="00121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F35">
        <w:rPr>
          <w:rFonts w:ascii="Times New Roman" w:hAnsi="Times New Roman" w:cs="Times New Roman"/>
          <w:sz w:val="24"/>
          <w:szCs w:val="24"/>
        </w:rPr>
        <w:t>Подписывайтесь  на официальные каналы прокуратуры Новосибирской области по ссылкам:</w:t>
      </w:r>
    </w:p>
    <w:p w:rsidR="00FA4FD9" w:rsidRPr="004F45E3" w:rsidRDefault="00FA4FD9" w:rsidP="00121F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5E3">
        <w:rPr>
          <w:rFonts w:ascii="Times New Roman" w:hAnsi="Times New Roman" w:cs="Times New Roman"/>
          <w:b/>
          <w:sz w:val="24"/>
          <w:szCs w:val="24"/>
        </w:rPr>
        <w:t>Изменения в Порядке выплаты  компенсации  за приобретённое  инвалидом средство реабилитации</w:t>
      </w:r>
    </w:p>
    <w:p w:rsidR="00FA4FD9" w:rsidRPr="00121F35" w:rsidRDefault="00FA4FD9" w:rsidP="00121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F35">
        <w:rPr>
          <w:rFonts w:ascii="Times New Roman" w:hAnsi="Times New Roman" w:cs="Times New Roman"/>
          <w:sz w:val="24"/>
          <w:szCs w:val="24"/>
        </w:rPr>
        <w:t xml:space="preserve">В соответствии со ст. 10 Федерального закона от 24.11.1995 N 181-ФЗ "О социальной защите инвалидов в Российской Федерации" государство гарантирует инвалидам проведение реабилитационных мероприятий, получение технических средств и услуг, в соответствии с утвержденным Перечнем, за счет средств федерального бюджета. </w:t>
      </w:r>
    </w:p>
    <w:p w:rsidR="00FA4FD9" w:rsidRPr="00121F35" w:rsidRDefault="00FA4FD9" w:rsidP="00121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F35">
        <w:rPr>
          <w:rFonts w:ascii="Times New Roman" w:hAnsi="Times New Roman" w:cs="Times New Roman"/>
          <w:sz w:val="24"/>
          <w:szCs w:val="24"/>
        </w:rPr>
        <w:t xml:space="preserve">Приказом Минтруда России от 30.01.2023 N 48н внесены изменения в Порядок выплаты компенсации за самостоятельно приобретенное инвалидом техническое средство реабилитации и (или) оказанную услугу, включая порядок определения ее размера и порядок информирования граждан о размере указанной компенсации. </w:t>
      </w:r>
    </w:p>
    <w:p w:rsidR="00FA4FD9" w:rsidRPr="00121F35" w:rsidRDefault="00FA4FD9" w:rsidP="00121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F35">
        <w:rPr>
          <w:rFonts w:ascii="Times New Roman" w:hAnsi="Times New Roman" w:cs="Times New Roman"/>
          <w:sz w:val="24"/>
          <w:szCs w:val="24"/>
        </w:rPr>
        <w:t xml:space="preserve">В частности установлено, что в настоящее время решение о выплате компенсации должно быть принято уполномоченным органом в течение 15 рабочих дней со дня принятия соответствующего заявления (ранее - в течение 30 дней). Кроме того, до 5 рабочих дней </w:t>
      </w:r>
      <w:proofErr w:type="gramStart"/>
      <w:r w:rsidRPr="00121F35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121F35">
        <w:rPr>
          <w:rFonts w:ascii="Times New Roman" w:hAnsi="Times New Roman" w:cs="Times New Roman"/>
          <w:sz w:val="24"/>
          <w:szCs w:val="24"/>
        </w:rPr>
        <w:t xml:space="preserve"> указанного решения сокращен срок для направления в кредитную организацию средств на выплату инвалиду компенсации.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21F3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Льготы, предоставляемые многодетным родителям в сфере трудовых отношений</w:t>
      </w:r>
    </w:p>
    <w:p w:rsidR="002B5488" w:rsidRPr="00121F35" w:rsidRDefault="002B5488" w:rsidP="004F45E3">
      <w:pPr>
        <w:shd w:val="clear" w:color="auto" w:fill="FFFFFF"/>
        <w:spacing w:after="0" w:line="240" w:lineRule="auto"/>
        <w:ind w:firstLine="709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Roboto" w:eastAsia="Times New Roman" w:hAnsi="Roboto" w:cs="Times New Roman"/>
          <w:sz w:val="24"/>
          <w:szCs w:val="24"/>
          <w:lang w:eastAsia="ru-RU"/>
        </w:rPr>
        <w:t> </w:t>
      </w: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Работающим родителям, имеющим трех и более детей в возрасте до 18 лет, ежегодный оплачиваемый отпуск предоставляется по их желанию в удобное для них время до достижения младшим из детей возраста 14 лет.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Работнику, имеющему двух или более детей в возрасте до 14 лет, коллективным договором также могут устанавливаться ежегодные дополнительные отпуска без сохранения заработной платы в удобное для него время продолжительностью до 14 календарных дней (ст. ст. 262.2, 263 ТК РФ).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работников, имеющих трех и более детей в возрасте до 18 лет, в период до достижения младшим из детей возраста 14 лет можно направить в служебные командировки, привлечь к сверхурочной работе, работе в ночное время, выходные и нерабочие праздничные дни только с их письменного согласия. При этом они вправе отказаться от такой работы (</w:t>
      </w:r>
      <w:proofErr w:type="gramStart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. 5 ст. 96, ч. 5 ст. 99, ч. 3 ст. 259 ТК РФ).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Работодатель не вправе уволить по собственной инициативе родителя, который является единственным кормильцем ребенка в возрасте до трех лет в семье, воспитывающей троих и более малолетних детей, если другой родитель не состоит в трудовых отношениях. Исключением являются, в частности, случаи увольнения в связи с ликвидацией организации-работодателя (п. 1 ст. 81, ст. 261 ТК РФ).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Можно ли направить работнику трудовую книжку почтой?</w:t>
      </w:r>
    </w:p>
    <w:p w:rsidR="002B5488" w:rsidRPr="00121F35" w:rsidRDefault="002B5488" w:rsidP="004F45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1E3685"/>
          <w:lang w:eastAsia="ru-RU"/>
        </w:rPr>
        <w:t xml:space="preserve"> </w:t>
      </w: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ст. 84.1 Трудового кодекса Российской Федерации в день прекращения трудового договора работодатель обязан выдать работнику трудовую книжку или предоставить сведения о трудовой деятельности у данного работодателя и произвести с ним расчет.</w:t>
      </w:r>
    </w:p>
    <w:p w:rsidR="00FA4FD9" w:rsidRPr="00121F35" w:rsidRDefault="002B5488" w:rsidP="004F45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Министерства труда и социальной защиты РФ от 19.05.2021 № 320н утвержден порядок ведения и хранения трудовых книжек, которым предусмотрено, что  в случае если в день увольнения работника невозможно выдать трудовую книжку в связи с отсутствием работника либо его отказом от получения трудовой книжки на руки, работодатель направляет работнику уведомление о необходимости явиться за трудовой книжкой либо дать согласие на отправление</w:t>
      </w:r>
      <w:proofErr w:type="gramEnd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по почте. Направление трудовой книжки почтой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На 2023 год продлен мораторий на проведение ряда внеплановых проверок юридических лиц и индивидуальных предпринимателей</w:t>
      </w:r>
    </w:p>
    <w:p w:rsidR="002B5488" w:rsidRPr="00121F35" w:rsidRDefault="002B5488" w:rsidP="004F45E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1E3685"/>
          <w:lang w:eastAsia="ru-RU"/>
        </w:rPr>
        <w:t xml:space="preserve"> </w:t>
      </w: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DFDFD"/>
          <w:lang w:eastAsia="ru-RU"/>
        </w:rPr>
        <w:t>Согласно постановлению Правительства Российской Федерации от 29.12.2022 № 2516 продлен мораторий на проверки и в 2023 году.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2023 году не будут проводиться плановые контрольные (надзорные) мероприятия в отношении государственных и муниципальных учреждений дошкольного и начального общего образования, основного общего и среднего общего образования.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Внеплановые контрольно-надзорные мероприятия в 2023 году продолжат проводить по сокращенному числу оснований, например, они будут возможны по согласованию с прокуратурой при непосредственной угрозе причинения вреда: жизни и тяжкого вреда здоровью граждан; обороне и безопасности страны; возникновения ЧС природного и (или) техногенного характера и др.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DFDFD"/>
          <w:lang w:eastAsia="ru-RU"/>
        </w:rPr>
        <w:t>В отношении объектов чрезвычайно высокого и высокого категорий риска контрольные органы будут проводить проверки на основании специальных индикаторов.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DFDFD"/>
          <w:lang w:eastAsia="ru-RU"/>
        </w:rPr>
        <w:t>К объектам чрезвычайно высокого и высокого рисков относятся социальные, промышленные объекты, отдельные виды деятельности, имеющие максимальный или близкий к нему уровень риска причинения вреда в соответствующей сфере.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DFDFD"/>
          <w:lang w:eastAsia="ru-RU"/>
        </w:rPr>
        <w:t>Что касается индикаторов рисков, то такой формат предполагает инициирование надзорными органами контрольных мероприятий в случае получения информации о наличии рисков нарушения обязательных требований.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DFDFD"/>
          <w:lang w:eastAsia="ru-RU"/>
        </w:rPr>
        <w:t>Новым постановлением также устанавливается право контрольного органа исключить из плана проведения проверок плановую проверку, если ей предшествовал профилактический визит по обращению контролируемого лица.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DFDFD"/>
          <w:lang w:eastAsia="ru-RU"/>
        </w:rPr>
        <w:t xml:space="preserve">Целью проверок на </w:t>
      </w:r>
      <w:proofErr w:type="gramStart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DFDFD"/>
          <w:lang w:eastAsia="ru-RU"/>
        </w:rPr>
        <w:t>основании</w:t>
      </w:r>
      <w:proofErr w:type="gramEnd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DFDFD"/>
          <w:lang w:eastAsia="ru-RU"/>
        </w:rPr>
        <w:t xml:space="preserve"> индикаторов рисков является предотвращение нарушений обязательных требований для бизнеса.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DFDFD"/>
          <w:lang w:eastAsia="ru-RU"/>
        </w:rPr>
        <w:t>Разработка новых индикаторов риска и их применение - это лишь часть механизма совершенствования контрольно-надзорной деятельности.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DFDFD"/>
          <w:lang w:eastAsia="ru-RU"/>
        </w:rPr>
        <w:t>С июля 2020 года в контрольно-надзорной сфере запущена процедура досудебного обжалования.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DFDFD"/>
          <w:lang w:eastAsia="ru-RU"/>
        </w:rPr>
        <w:t>На портале государственных услуг создан сервис подачи жалобы на решения контрольных органов.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DFDFD"/>
          <w:lang w:eastAsia="ru-RU"/>
        </w:rPr>
        <w:t xml:space="preserve">Информация, полученная от бизнеса посредством этого сервиса, является для Правительства источником обратной связи. Сведения используются для совершенствования контрольных процедур, в том числе </w:t>
      </w:r>
      <w:proofErr w:type="spellStart"/>
      <w:proofErr w:type="gramStart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DFDFD"/>
          <w:lang w:eastAsia="ru-RU"/>
        </w:rPr>
        <w:t>риск-ориентированного</w:t>
      </w:r>
      <w:proofErr w:type="spellEnd"/>
      <w:proofErr w:type="gramEnd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DFDFD"/>
          <w:lang w:eastAsia="ru-RU"/>
        </w:rPr>
        <w:t xml:space="preserve"> подхода.</w:t>
      </w:r>
    </w:p>
    <w:p w:rsidR="002B5488" w:rsidRPr="00121F35" w:rsidRDefault="002B5488" w:rsidP="004F45E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распространяются требования по выгулу домашних животных  на собак-проводников</w:t>
      </w:r>
    </w:p>
    <w:p w:rsidR="002B5488" w:rsidRPr="00121F35" w:rsidRDefault="002B5488" w:rsidP="004F45E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1E3685"/>
          <w:lang w:eastAsia="ru-RU"/>
        </w:rPr>
        <w:t xml:space="preserve"> </w:t>
      </w: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07.10.2022 № 396-ФЗ внесены изменения в статьи 3 и 13 Федерального закона «Об ответственном обращении с животными и о внесении изменений в отдельные законодательные акты РФ».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данным изменениям правила выгула домашних животных не распространяются на собак-проводников.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установлено, что собака-проводник - собака с комплектом снаряжения, которая сопровождает инвалида по зрению и на которую выдан документ, подтверждающий ее специальное обучение.</w:t>
      </w:r>
    </w:p>
    <w:p w:rsidR="002B5488" w:rsidRPr="00121F35" w:rsidRDefault="002B5488" w:rsidP="004F45E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21F3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Новые особенности регулирования земельных правоотношений</w:t>
      </w:r>
    </w:p>
    <w:p w:rsidR="002B5488" w:rsidRPr="00121F35" w:rsidRDefault="002B5488" w:rsidP="004F45E3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Roboto" w:eastAsia="Times New Roman" w:hAnsi="Roboto" w:cs="Times New Roman"/>
          <w:sz w:val="24"/>
          <w:szCs w:val="24"/>
          <w:lang w:eastAsia="ru-RU"/>
        </w:rPr>
        <w:t xml:space="preserve"> </w:t>
      </w: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Российской Федерации от 30.12.2022 № 2536 установлены особенности регулирования земельных правоотношений в 2023 году. В основном, особенности регулирования земельных правоотношений в 2023 году аналогичны особенностям, которые установлены на 2022 год постановлением Правительства РФ от 09.04.2022 № 629.</w:t>
      </w:r>
    </w:p>
    <w:p w:rsidR="002B5488" w:rsidRPr="00121F35" w:rsidRDefault="002B5488" w:rsidP="004F45E3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есть ряд изменений. В новом постановлении допускается заключение договора мены земельного участка, находящегося в государственной или муниципальной </w:t>
      </w: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собственности, на земельный участок, находящихся в частной собственности, в случае, если такой земельный участок, находящийся в частной собственности, необходим для размещения объектов социальной инфраструктуры. В том числе, если размещение объекта </w:t>
      </w:r>
      <w:proofErr w:type="spellStart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социнфраструктуры</w:t>
      </w:r>
      <w:proofErr w:type="spellEnd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для соблюдения нормативов градостроительного проектирования и при этом не предусмотрено утвержденным проектом планировки территории и проектом межевания территории.</w:t>
      </w:r>
    </w:p>
    <w:p w:rsidR="002B5488" w:rsidRPr="00121F35" w:rsidRDefault="002B5488" w:rsidP="004F45E3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по новым правилам допускается продажа без проведения торгов земельного участка, находящегося в государственной или муниципальной собственности, и земельного участка, госсобственность на который не разграничена, предназначенных для ведения личного подсобного хозяйства, садоводства или огородничества для собственных нужд, отдыха (рекреации), производственной деятельности, нужд промышленности и предоставленных в аренду. При условии отсутствия у уполномоченного органа информации о выявленных в рамках государственного земельного надзора и </w:t>
      </w:r>
      <w:proofErr w:type="spellStart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неустраненных</w:t>
      </w:r>
      <w:proofErr w:type="spellEnd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нарушениях законодательства при использовании такого земельного участка.</w:t>
      </w:r>
    </w:p>
    <w:p w:rsidR="002B5488" w:rsidRPr="00121F35" w:rsidRDefault="002B5488" w:rsidP="004F45E3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2023 году отменено положение о том, что уполномоченный орган власти в срок не более 10 календарных дней должен предпринять ряд указанных действий, если не поступило заявлений от граждан, крестьянских (фермерских) хозяйств о намерении участвовать в аукционе. Речь идет об особенностях предоставления земельных участков, находящихся в государственной или муниципальной собственности, гражданам для ИЖС, ведения личного подсобного хозяйства в границах населенного пункта, садоводства для собственных нужд, гражданами и крестьянскими (фермерскими) хозяйствами для осуществления крестьянским (фермерским) хозяйством его деятельности.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_Hlk130759179"/>
      <w:r w:rsidRPr="00121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 закреплении за  мобилизованными гражданами преимущественного  права приема на ранее занимаемую должность  </w:t>
      </w:r>
    </w:p>
    <w:bookmarkEnd w:id="1"/>
    <w:p w:rsidR="002B5488" w:rsidRPr="00121F35" w:rsidRDefault="002B5488" w:rsidP="004F45E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1E3685"/>
          <w:lang w:eastAsia="ru-RU"/>
        </w:rPr>
        <w:t xml:space="preserve"> </w:t>
      </w: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19.12.2022 № 545-ФЗ внесены изменения в статьи 302 и 351.7 Трудового кодекса Российской Федерации.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351.7 дополнена частью 12, согласно которой лицо, призванное на военную службу по мобилизации, заключившее контракт либо добровольно содействующее в выполнении задач, возложенных на Вооруженные Силы РФ, в течение трех месяцев после окончания прохождения военной службы имеет преимущественное право поступления на работу по ранее занимаемой должности у работодателя, с которым указанное лицо состояло в трудовых отношениях до призыва на военную</w:t>
      </w:r>
      <w:proofErr w:type="gramEnd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службу.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Такое преимущественное право предоставлено лицам, с которыми приостановленный трудовой договор </w:t>
      </w:r>
      <w:proofErr w:type="gramStart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</w:t>
      </w:r>
      <w:proofErr w:type="gramEnd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расторгнут в связи с истечением срока его действия.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подходящей вакансии лицо имеет преимущественное право поступления на другую вакантную должность или работу, соответствующую его квалификации, а если такие вакантные должности отсутствуют - на вакантную нижестоящую должность или нижеоплачиваемую работу.</w:t>
      </w:r>
    </w:p>
    <w:p w:rsidR="002B5488" w:rsidRPr="00121F35" w:rsidRDefault="002B5488" w:rsidP="00121F35">
      <w:pPr>
        <w:pStyle w:val="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hd w:val="clear" w:color="auto" w:fill="FFFFFF"/>
        </w:rPr>
      </w:pPr>
      <w:r w:rsidRPr="00121F35">
        <w:t xml:space="preserve">Вакцинация высокоэффективный способ профилактики инфекционных заболеваний у детей и взрослых. </w:t>
      </w:r>
      <w:r w:rsidRPr="00121F35">
        <w:rPr>
          <w:shd w:val="clear" w:color="auto" w:fill="FFFFFF"/>
        </w:rPr>
        <w:t>Вакцинация - это создание искусственного иммунитета к некоторым болезням, это один из ведущих методов профилактики инфекционных заболеваний.</w:t>
      </w:r>
    </w:p>
    <w:p w:rsidR="002B5488" w:rsidRPr="00121F35" w:rsidRDefault="002B5488" w:rsidP="00121F35">
      <w:pPr>
        <w:pStyle w:val="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hd w:val="clear" w:color="auto" w:fill="FFFFFF"/>
        </w:rPr>
      </w:pPr>
      <w:proofErr w:type="spellStart"/>
      <w:r w:rsidRPr="00121F35">
        <w:rPr>
          <w:shd w:val="clear" w:color="auto" w:fill="FFFFFF"/>
        </w:rPr>
        <w:t>Вакцинопрофилактика</w:t>
      </w:r>
      <w:proofErr w:type="spellEnd"/>
      <w:r w:rsidRPr="00121F35">
        <w:rPr>
          <w:shd w:val="clear" w:color="auto" w:fill="FFFFFF"/>
        </w:rPr>
        <w:t xml:space="preserve"> - это наиболее доступный и экономичный способ снижения заболеваемости и смертности от инфекционный заболеваний.</w:t>
      </w:r>
    </w:p>
    <w:p w:rsidR="002B5488" w:rsidRPr="00121F35" w:rsidRDefault="002B5488" w:rsidP="00121F35">
      <w:pPr>
        <w:pStyle w:val="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hd w:val="clear" w:color="auto" w:fill="FFFFFF"/>
        </w:rPr>
      </w:pPr>
      <w:r w:rsidRPr="00121F35">
        <w:rPr>
          <w:shd w:val="clear" w:color="auto" w:fill="FFFFFF"/>
        </w:rPr>
        <w:t>Лица с хроническими заболеваниями относятся к группе высокого риска при массовых инфекциях, поэтому иммунизация для них должна быть обязательной.</w:t>
      </w:r>
    </w:p>
    <w:p w:rsidR="002B5488" w:rsidRPr="00121F35" w:rsidRDefault="002B5488" w:rsidP="00121F35">
      <w:pPr>
        <w:pStyle w:val="paragraph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121F35">
        <w:t xml:space="preserve">Введение в практику всеобщей вакцинации привело к снижению частоты возникновения и даже ликвидации многих опасных заболеваний. </w:t>
      </w:r>
    </w:p>
    <w:p w:rsidR="002B5488" w:rsidRPr="00121F35" w:rsidRDefault="002B5488" w:rsidP="00121F35">
      <w:pPr>
        <w:pStyle w:val="paragraph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121F35">
        <w:t xml:space="preserve">В Российской Федерации принят национальный календарь профилактических прививок. Это документ, регламентирующий очерёдность вакцинации согласно возрасту и </w:t>
      </w:r>
      <w:r w:rsidRPr="00121F35">
        <w:lastRenderedPageBreak/>
        <w:t>типу вакцин. Он утверждён приказом Минздрава РФ от 6 декабря 2021 года № 1122н. Прививки, указанные в перечне, проводятся бесплатно.</w:t>
      </w:r>
    </w:p>
    <w:p w:rsidR="002B5488" w:rsidRPr="00121F35" w:rsidRDefault="002B5488" w:rsidP="00121F35">
      <w:pPr>
        <w:pStyle w:val="paragraph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121F35">
        <w:t>Календарь разработан для того, чтобы снизить заболеваемость населения. Многие инфекции особенно опасны для детей до года. Привитый ребёнок либо не заболеет вообще, либо перенесет заболевание без рисков и осложнений.</w:t>
      </w:r>
    </w:p>
    <w:p w:rsidR="002B5488" w:rsidRPr="00121F35" w:rsidRDefault="002B5488" w:rsidP="00121F35">
      <w:pPr>
        <w:pStyle w:val="a3"/>
        <w:spacing w:before="0" w:beforeAutospacing="0" w:after="0" w:afterAutospacing="0"/>
        <w:ind w:firstLine="709"/>
        <w:jc w:val="both"/>
      </w:pPr>
      <w:r w:rsidRPr="00121F35">
        <w:t xml:space="preserve">Без вакцинации население подвергается риску серьезных заболеваний, таких как корь, менингит, пневмония, столбняк и полиомиелит. Многие из этих болезней опасны для жизни. </w:t>
      </w:r>
    </w:p>
    <w:p w:rsidR="002B5488" w:rsidRPr="00121F35" w:rsidRDefault="002B5488" w:rsidP="00121F35">
      <w:pPr>
        <w:pStyle w:val="a3"/>
        <w:spacing w:before="0" w:beforeAutospacing="0" w:after="0" w:afterAutospacing="0"/>
        <w:ind w:firstLine="709"/>
        <w:jc w:val="both"/>
      </w:pPr>
      <w:r w:rsidRPr="00121F35">
        <w:t>В современном мире инфекционные заболевания могут легко пересекать границы и заражать любого человека, у которого отсутствует к ним иммунитет.</w:t>
      </w:r>
    </w:p>
    <w:p w:rsidR="002B5488" w:rsidRPr="00121F35" w:rsidRDefault="002B5488" w:rsidP="00121F35">
      <w:pPr>
        <w:pStyle w:val="a3"/>
        <w:spacing w:before="0" w:beforeAutospacing="0" w:after="0" w:afterAutospacing="0"/>
        <w:ind w:firstLine="709"/>
        <w:jc w:val="both"/>
      </w:pPr>
      <w:r w:rsidRPr="00121F35">
        <w:t xml:space="preserve">Вакцинация  позволяет защитить себя и защитить окружающих. 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административной ответственности за оскорбление</w:t>
      </w:r>
    </w:p>
    <w:p w:rsidR="002B5488" w:rsidRPr="00121F35" w:rsidRDefault="002B5488" w:rsidP="004F45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соответствии со статьей 5.61 Кодекса Российской Федерации об </w:t>
      </w:r>
      <w:proofErr w:type="gramStart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административных</w:t>
      </w:r>
      <w:proofErr w:type="gramEnd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правонарушенияхпод</w:t>
      </w:r>
      <w:proofErr w:type="spellEnd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оскорблением понимается унижение чести и достоинства другого лица, выраженное в неприличной или иной противоречащей общепринятым нормам морали и нравственности форме.</w:t>
      </w:r>
    </w:p>
    <w:p w:rsidR="002B5488" w:rsidRPr="00121F35" w:rsidRDefault="002B5488" w:rsidP="004F45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Указанное правонарушение влечет наложение административного штрафа на граждан в размере от трех тысяч до пяти тысяч рублей; на должностных лиц - от тридцати тысяч до пятидесяти тысяч рублей; на юридических лиц - от ста тысяч до двухсот тысяч рублей.</w:t>
      </w:r>
    </w:p>
    <w:p w:rsidR="002B5488" w:rsidRPr="00121F35" w:rsidRDefault="002B5488" w:rsidP="004F45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Совершения указанного правонарушения в публичном выступлении или средствах массовой информации, включая сеть «Интернет», либо в отношении нескольких лиц, влечет более строгое наказание, а </w:t>
      </w:r>
      <w:proofErr w:type="spellStart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именно</w:t>
      </w:r>
      <w:proofErr w:type="gramStart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:н</w:t>
      </w:r>
      <w:proofErr w:type="gramEnd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аложение</w:t>
      </w:r>
      <w:proofErr w:type="spellEnd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административного штрафа на граждан в размере от пяти тысяч до десяти тысяч рублей; на должностных лиц - от пятидесяти тысяч до ста тысяч рублей; на юридических лиц - от двухсот тысяч до семисот тысяч рублей.</w:t>
      </w:r>
    </w:p>
    <w:p w:rsidR="002B5488" w:rsidRPr="00121F35" w:rsidRDefault="002B5488" w:rsidP="004F45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Наиболее строгая ответственность за указанное правонарушение предусмотрена за оскорбление, совершенное лицом, замещающим государственную или муниципальную должность либо должность государственной гражданской или муниципальной службы, в связи с осуществлением своих полномочий (должностных обязанностей), - административный штраф в размере от пятидесяти тысяч до ста тысяч рублей либо дисквалификацию на срок до одного года.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21F3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Обязанность образовательных организаций по размещению информации об организации питания на официальном сайте</w:t>
      </w:r>
    </w:p>
    <w:p w:rsidR="002B5488" w:rsidRPr="00121F35" w:rsidRDefault="002B5488" w:rsidP="004F45E3">
      <w:pPr>
        <w:shd w:val="clear" w:color="auto" w:fill="FFFFFF"/>
        <w:spacing w:after="0" w:line="240" w:lineRule="auto"/>
        <w:ind w:firstLine="709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Roboto" w:eastAsia="Times New Roman" w:hAnsi="Roboto" w:cs="Times New Roman"/>
          <w:sz w:val="24"/>
          <w:szCs w:val="24"/>
          <w:lang w:eastAsia="ru-RU"/>
        </w:rPr>
        <w:t xml:space="preserve"> </w:t>
      </w: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ru-RU"/>
        </w:rPr>
        <w:t>Внесены изменения в Требования к структуре официального сайта образовательной организации в информационно-телекоммуникационной сети «Интернет» и формату представления информации, утвержденные приказом Федеральной службы по надзору в сфере образования и науки от 14.08.2020 № 831.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ru-RU"/>
        </w:rPr>
        <w:t>Так, с 1 сентября 2022 года родитель путем выхода на официальный сайт образовательной организации имеет возможность получить информацию об условиях питания своего ребенка, в том числе ознакомиться с меню ежедневного горячего питания, узнать о наличии диетического меню в образовательной организации, ознакомиться с информацией о поставщиках пищевой продукции и их изготовителях.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ru-RU"/>
        </w:rPr>
        <w:t xml:space="preserve">Кроме того, сайт должен предусматривать форму обратной связи для </w:t>
      </w:r>
      <w:proofErr w:type="gramStart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ru-RU"/>
        </w:rPr>
        <w:t>родителей</w:t>
      </w:r>
      <w:proofErr w:type="gramEnd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ru-RU"/>
        </w:rPr>
        <w:t xml:space="preserve"> обучающихся и ответы на их вопросы по питанию.</w:t>
      </w:r>
    </w:p>
    <w:p w:rsidR="002B5488" w:rsidRPr="00121F35" w:rsidRDefault="002B5488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ru-RU"/>
        </w:rPr>
        <w:t>Указанная информация должна содержаться в специальном подразделе «Организация питания в образовательной организации».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21F3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Ответственность за незаконные действия со средствами материнского (семейного) капитала</w:t>
      </w:r>
    </w:p>
    <w:p w:rsidR="00121F35" w:rsidRPr="00121F35" w:rsidRDefault="00121F35" w:rsidP="004F45E3">
      <w:pPr>
        <w:shd w:val="clear" w:color="auto" w:fill="FFFFFF"/>
        <w:spacing w:after="0" w:line="240" w:lineRule="auto"/>
        <w:ind w:firstLine="709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Roboto" w:eastAsia="Times New Roman" w:hAnsi="Roboto" w:cs="Times New Roman"/>
          <w:sz w:val="24"/>
          <w:szCs w:val="24"/>
          <w:lang w:eastAsia="ru-RU"/>
        </w:rPr>
        <w:t> </w:t>
      </w:r>
      <w:r w:rsidRPr="00121F35">
        <w:rPr>
          <w:rFonts w:ascii="Roboto" w:eastAsia="Times New Roman" w:hAnsi="Roboto" w:cs="Times New Roman"/>
          <w:sz w:val="24"/>
          <w:szCs w:val="24"/>
          <w:shd w:val="clear" w:color="auto" w:fill="1E3685"/>
          <w:lang w:eastAsia="ru-RU"/>
        </w:rPr>
        <w:t xml:space="preserve"> </w:t>
      </w: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Материнский капитал – одна из самых распространенных мер государственной поддержки семьи и материнства.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Федеральным законом от 29.12.2006 № 256-ФЗ «О дополнительных мерах государственной поддержки семей, имеющих детей» предусмотрены способы использования средств материнского (семейного) капитала и их строго целевое назначение.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способы, позволяющие «обналичить» средства материнского (семейного) капитала, незаконны и преследуются уголовным законом.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proofErr w:type="gramStart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этой связи, ст. 159.2 Уголовного кодекса Российской Федерации (далее – УК РФ) предусматривает уголовную ответственность за мошенничество при получении выплат, при получении пособий, компенсаций, субсидий и иных социальных выплат, установленных законами и иными нормативными правовыми актами, путем представления заведомо ложных и (или) недостоверных сведений, а равно путем умолчания о фактах, влекущих прекращение указанных выплат.</w:t>
      </w:r>
      <w:proofErr w:type="gramEnd"/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proofErr w:type="gramStart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примеру, направление средств материнского капитала на приобретение непригодного для проживания жилого помещения не соответствует целевому назначению этих средств и не способствует созданию детям надлежащих условий, обеспечивающих их достойную жизнь, что влечет предусмотренную ответственность по ст. 159.2 УК РФ, а также является основанием для взыскания с «мошенника» денежных средств материнского (семейного) капитала.</w:t>
      </w:r>
      <w:proofErr w:type="gramEnd"/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Распространенной схемой мошенничества со средствами материнского капитала являются получение материнского капитала лицами, не имеющими на это законных прав (подделка свидетельства о рождении ребенка); сообщение заведомо ложных сведений о себе и своей семье при подаче заявления </w:t>
      </w:r>
      <w:proofErr w:type="gramStart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уполномоченный</w:t>
      </w:r>
      <w:proofErr w:type="gramEnd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орган, либо сокрытие информации, которая запрещает получение материнского капитала; приобретение недвижимого имущества под видом жилого помещения, а также предоставление недостоверных, подложных документов при оформлении материнского капитала.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за несоблюдение требований в области охраны окружающей среды при обращении с отходами производства и потребления</w:t>
      </w:r>
    </w:p>
    <w:p w:rsidR="00121F35" w:rsidRPr="00121F35" w:rsidRDefault="00121F35" w:rsidP="004F45E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1E3685"/>
          <w:lang w:eastAsia="ru-RU"/>
        </w:rPr>
        <w:t xml:space="preserve"> </w:t>
      </w: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Отходы производства и потребления - вещества или предметы, которые образованы в процессе производства, выполнения работ, оказания услуг или в процессе потребления, которые удаляются, предназначены для удаления или подлежат удалению.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Правовые основы обращения с отходами установлены Федеральным законом «Об отходах производства и потребления».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Несоблюдение требований в области охраны окружающей среды при обращении с отходами производства и потребления влечет административную ответственность по ст. 8.2 </w:t>
      </w:r>
      <w:proofErr w:type="spellStart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КоАП</w:t>
      </w:r>
      <w:proofErr w:type="spellEnd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РФ.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Наказание за указанные нарушения предусмотрено в виде штрафов в размере от 2 до 700 тыс. рублей, а также в виде административного приостановления деятельности на срок до девяноста суток в зависимости от субъекта ответственности и квалификации действий.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Нарушения санитарно-эпидемиологических требований при обращении с отходами производства и потребления образуют состав ст. 6.35 </w:t>
      </w:r>
      <w:proofErr w:type="spellStart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КоАП</w:t>
      </w:r>
      <w:proofErr w:type="spellEnd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РФ и влекут наказание в виде штрафа от 2 тыс. до 1 млн. рублей.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21F3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Права работника на отпуск и его перенос по собственной инициативе</w:t>
      </w:r>
    </w:p>
    <w:p w:rsidR="00121F35" w:rsidRPr="00121F35" w:rsidRDefault="00121F35" w:rsidP="004F45E3">
      <w:pPr>
        <w:shd w:val="clear" w:color="auto" w:fill="FFFFFF"/>
        <w:spacing w:after="0" w:line="240" w:lineRule="auto"/>
        <w:ind w:firstLine="709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Roboto" w:eastAsia="Times New Roman" w:hAnsi="Roboto" w:cs="Times New Roman"/>
          <w:sz w:val="24"/>
          <w:szCs w:val="24"/>
          <w:lang w:eastAsia="ru-RU"/>
        </w:rPr>
        <w:t> </w:t>
      </w: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Согласно ст. 37 Конституции Российской Федерации каждому гарантируется право на отдых. Порядок предоставления оплачиваемого ежегодного отпуска, закреплен в Трудовом кодексе Российской Федерации.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Ежегодный основной оплачиваемый отпуск работника составляет 28 дней. В первый год работы право на отпуск у работников возникает по </w:t>
      </w:r>
      <w:proofErr w:type="gramStart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истечении</w:t>
      </w:r>
      <w:proofErr w:type="gramEnd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шести месяцев после трудоустройства и непрерывной работы. По соглашению сторон оплачиваемый отпуск работнику может быть предоставлен и до истечения шести месяцев.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соответствии со ст.ст. 114, 122, 123, 124, 136 Трудового кодекса Российской Федерации ежегодные отпуска с сохранением места работы и среднего заработка </w:t>
      </w: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предоставляются работнику ежегодно с утверждаемым работодателем, графиком отпусков, являющимся обязательным как для работодателя, так и для работника. Отдельным категориям работников в случаях, предусмотренных Трудовым кодексом Российской Федерации и иными федеральными законами, ежегодный оплачиваемый отпуск предоставляется по их желанию в удобное для них время.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Так,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работодателя.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Ежегодный оплачиваемый отпуск может быть продлен или перенесен на другой срок, определяемый работодателем с учетом пожеланий работника, в случаях: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 временной нетрудоспособности работника;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 исполнения работником во время ежегодного оплачиваемого отпуска государственных обязанностей, если для этого трудовым законодательством предусмотрено освобождение от работы;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 в других случаях, предусмотренных трудовым законодательством, локальными нормативными актами.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proofErr w:type="gramStart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Если работнику своевременно не была произведена оплата за время ежегодного оплачиваемого отпуска (минимум за 3 календарных дня до начала отпуска) либо работник был предупрежден о времени начала этого отпуска позднее чем за две недели до его начала, то работодатель по письменному заявлению работника обязан перенести ежегодный оплачиваемый отпуск на другой срок, согласованный с работником.</w:t>
      </w:r>
      <w:proofErr w:type="gramEnd"/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Запрещается </w:t>
      </w:r>
      <w:proofErr w:type="spellStart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непредоставление</w:t>
      </w:r>
      <w:proofErr w:type="spellEnd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ежегодного оплачиваемого отпуска в течение двух лет подряд, а также </w:t>
      </w:r>
      <w:proofErr w:type="spellStart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непредоставление</w:t>
      </w:r>
      <w:proofErr w:type="spellEnd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ежегодного оплачиваемого отпуска работникам в возрасте до 18 лет и работникам, занятым на работах с вредными и опасными условиями труда.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Нарушение трудового законодательства работодателем влечет административную ответственность по ст. 5.27 </w:t>
      </w:r>
      <w:proofErr w:type="spellStart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КоАП</w:t>
      </w:r>
      <w:proofErr w:type="spellEnd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РФ.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Правительство утвердило особенности порядка начисления пособий по обязательному социальному страхованию </w:t>
      </w:r>
      <w:proofErr w:type="gramStart"/>
      <w:r w:rsidRPr="00121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</w:t>
      </w:r>
      <w:proofErr w:type="gramEnd"/>
      <w:r w:rsidRPr="00121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занятых по гражданско-правовым договорам</w:t>
      </w:r>
    </w:p>
    <w:p w:rsidR="00121F35" w:rsidRPr="00121F35" w:rsidRDefault="00121F35" w:rsidP="004F45E3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Roboto" w:eastAsia="Times New Roman" w:hAnsi="Roboto" w:cs="Times New Roman"/>
          <w:sz w:val="24"/>
          <w:szCs w:val="24"/>
          <w:lang w:eastAsia="ru-RU"/>
        </w:rPr>
        <w:t> </w:t>
      </w: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Постановлением Правительства Российской Федерации от 15.12.2022 № 2310 внесены изменения в Положение об особенностях порядка исчисления пособий по временной нетрудоспособности, по беременности и родам, ежемесячного пособия по уходу за ребенком гражданам, подлежащим обязательному социальному страхованию на случай временной нетрудоспособности и в связи с материнством.</w:t>
      </w:r>
    </w:p>
    <w:p w:rsidR="00121F35" w:rsidRPr="00121F35" w:rsidRDefault="00121F35" w:rsidP="004F45E3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 2023 года страховые права по обязательному социальному страхованию начнут формироваться у граждан, выполняющих работы или услуги по гражданско-правовым договорам, по договорам авторского заказа или является исполнителем по договорам отчуждения авторских прав. Это даст возможность таким сотрудникам получать оплачиваемые больничные, выплаты в связи с беременностью и родами, по уходу за ребенком до 1,5 лет.</w:t>
      </w:r>
    </w:p>
    <w:p w:rsidR="00121F35" w:rsidRPr="00121F35" w:rsidRDefault="00121F35" w:rsidP="004F45E3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Право на пособие по обязательному социальному страхованию возникает у тех граждан, у кого заключен гражданско-правовой договор и </w:t>
      </w:r>
      <w:proofErr w:type="gramStart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</w:t>
      </w:r>
      <w:proofErr w:type="gramEnd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прошлый</w:t>
      </w:r>
      <w:proofErr w:type="gramEnd"/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календарный год есть страховые отчисления не менее сумм, выплачиваемых с МРОТ (в 2022 году это - 4833,72 рубля). При этом учитываются и взносы, которые уплачивались с трудовых договоров.</w:t>
      </w:r>
    </w:p>
    <w:p w:rsidR="00121F35" w:rsidRPr="00121F35" w:rsidRDefault="00121F35" w:rsidP="004F45E3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случае если гражданин работает по гражданско-правовым договорам, заключенным сразу с несколькими компаниями, то пособия по временной нетрудоспособности, по беременности и родам, ежемесячное пособие по уходу за ребенком назначаются и выплачиваются ему страховщиком по одному из работодателей - по выбору самого застрахованного лица.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Социальный фонд России будет перечислять выплаты по больничным напрямую гражданину на основании электронного больничного листа.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Изменения вступают в силу с 1 января 2023 года и действуют до 1 сентября 2027 года.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Противодействие телефонным мошенникам</w:t>
      </w:r>
    </w:p>
    <w:p w:rsidR="00121F35" w:rsidRPr="00121F35" w:rsidRDefault="00121F35" w:rsidP="004F45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 Ежегодно увеличивается количество случаев совершения телефонных мошенничеств.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Злоумышленники, как правило, в целях завладения деньгами граждан придумывают   новые схемы обмана и используют различные средства связи. Именно благодаря доверчивости граждан в большинстве случаев мошенники достигают своих преступных целей.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запомнить и быть готовым к тому, что мошенники используют следующие ситуации: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- звонки от имени сотрудников правоохранительных органов о том, что родственники попали в различные сложные ситуации (в ДТП, в полицию, в больницу и т.п.), в связи с этим для «решения» вопроса требуют передать денежные средства;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- звонки о намерении приобрести какое-либо имущество, размещенное на различных интернет-сайтах гражданами в объявлениях о продаже. В таких случаях мошенники просят продиктовать номер банковской карты, а также различные коды доступа для перечисления аванса за товар;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- звонки от имени сотрудников банков о хакерской атаке на счета клиентов и необходимости провести ряд операций для сохранности денежных средств на расчетных счетах;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- звонки о намерении приобрести какое-либо имущество, размещенное на различных интернет-сайтах гражданами в объявлениях о продаже. В таких случаях мошенники просят продиктовать номер банковской карты, а также различные коды доступа для перечисления аванса за товар;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смс-сообщения</w:t>
      </w:r>
      <w:proofErr w:type="spellEnd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имени кредитных учреждений о блокировке банковской карты с предложением временно перечислить деньги на другие счета для их сохранности;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смс-сообщения</w:t>
      </w:r>
      <w:proofErr w:type="spellEnd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звонки об имеющейся (якобы) задолженности по кредитам, которые необходимо погасить;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смс-сообщения</w:t>
      </w:r>
      <w:proofErr w:type="spellEnd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звонки о каком-либо выигрыше (суммы денег, автомобиля, телефона и т.п.), для получения которого необходимо перечислить денежные средства либо сообщить данные карты и коды доступа.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И это далеко не полный перечень приемов и способов телефонных мошенников. К примеру, гражданам поступают звонки от «</w:t>
      </w:r>
      <w:proofErr w:type="spellStart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лжесотрудников</w:t>
      </w:r>
      <w:proofErr w:type="spellEnd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пенсионных служб о перечислении различных пособий, для получения которых необходимо продиктовать номер банковской карты, а также коды доступа к ним.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этой связи будьте внимательны, не попадайтесь на уловки мошенников! Самостоятельно перепроверяйте полученную информацию путем обращения в банк. Если Вас ввели в заблуждение и похитили денежные средства, незамедлительно обращайтесь в полицию.</w:t>
      </w:r>
    </w:p>
    <w:p w:rsidR="00121F35" w:rsidRPr="00121F35" w:rsidRDefault="00121F35" w:rsidP="004F45E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Разъяснение законодательства о социальных правах</w:t>
      </w:r>
    </w:p>
    <w:p w:rsidR="00121F35" w:rsidRPr="00121F35" w:rsidRDefault="00121F35" w:rsidP="004F45E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единообразного применения судами действующего законодательства 21 декабря 2022 года Президиумом Верховного Суда Российской Федерации утвержден очередной Обзор судебной практики № 3.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можно отметить следующее.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Социальная выплата на строительство (приобретение) жилья в сельской местности, предоставленная молодому специалисту, работающему в организации агропромышленного комплекса и не имеющему иного жилья в сельской местности там, где он работает, при отсутствии его недобросовестных и противоправных действий при обращении за реализацией права на социальную выплату и использованная на ремонт </w:t>
      </w: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приобретенного жилого помещения не подлежит взысканию в качестве неосновательного обогащения, так как</w:t>
      </w:r>
      <w:proofErr w:type="gramEnd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не отвечает целям государственной аграрной политики, направленным на привлечение молодых специалистов для работы в сельскую местность в агропромышленном комплексе, не имеющих там жилья и достаточных собственных сре</w:t>
      </w:r>
      <w:proofErr w:type="gramStart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я его приобретения.</w:t>
      </w:r>
    </w:p>
    <w:p w:rsidR="00121F35" w:rsidRP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дополнительные меры государственной поддержки в виде материнского (семейного) капитала, установленные законом для женщин, родивших (усыновивших) первого ребенка после 1 января 2020 года, не возникает у женщин, право которых на получение указанной меры поддержки было прекращено в связи с лишением их родительских прав в отношении детей, рожденных до этой даты.</w:t>
      </w:r>
      <w:proofErr w:type="gramEnd"/>
    </w:p>
    <w:p w:rsidR="00121F35" w:rsidRDefault="00121F35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расчете среднедушевого дохода семьи для оказания мер государственной социальной поддержки в виде ежемесячной денежной выплаты на ребенка в возрасте от трех до семи лет включительно в составе дохода семьи не учитывается размер алиментов, уплаченных супругом на содержание ребенка от предыдущего брака.</w:t>
      </w:r>
    </w:p>
    <w:p w:rsidR="004F45E3" w:rsidRPr="00121F35" w:rsidRDefault="004F45E3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F35" w:rsidRDefault="00121F35" w:rsidP="00121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F35">
        <w:rPr>
          <w:rFonts w:ascii="Times New Roman" w:hAnsi="Times New Roman" w:cs="Times New Roman"/>
          <w:sz w:val="24"/>
          <w:szCs w:val="24"/>
        </w:rPr>
        <w:t>Помощник прокурора района                                                      О.А. Огнева</w:t>
      </w:r>
    </w:p>
    <w:p w:rsidR="004F45E3" w:rsidRPr="00121F35" w:rsidRDefault="004F45E3" w:rsidP="00121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1F35" w:rsidRPr="004F45E3" w:rsidRDefault="00121F35" w:rsidP="00121F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45E3">
        <w:rPr>
          <w:rFonts w:ascii="Times New Roman" w:hAnsi="Times New Roman" w:cs="Times New Roman"/>
          <w:b/>
          <w:sz w:val="24"/>
          <w:szCs w:val="24"/>
        </w:rPr>
        <w:t>Подписывайтесь  на официальные каналы прокуратуры Новосибирской области по ссылкам:</w:t>
      </w:r>
    </w:p>
    <w:p w:rsidR="00121F35" w:rsidRPr="004F45E3" w:rsidRDefault="004F45E3" w:rsidP="00121F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4" w:history="1">
        <w:r w:rsidRPr="000048A1">
          <w:rPr>
            <w:rStyle w:val="a4"/>
            <w:rFonts w:ascii="Times New Roman" w:hAnsi="Times New Roman" w:cs="Times New Roman"/>
            <w:b/>
            <w:sz w:val="24"/>
            <w:szCs w:val="24"/>
          </w:rPr>
          <w:t>https://vk.com/proc_54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21F35" w:rsidRPr="004F45E3" w:rsidRDefault="004F45E3" w:rsidP="00121F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Pr="000048A1">
          <w:rPr>
            <w:rStyle w:val="a4"/>
            <w:rFonts w:ascii="Times New Roman" w:hAnsi="Times New Roman" w:cs="Times New Roman"/>
            <w:b/>
            <w:sz w:val="24"/>
            <w:szCs w:val="24"/>
          </w:rPr>
          <w:t>https://t.me/prokuratura_nso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21F35" w:rsidRPr="004F45E3" w:rsidRDefault="00121F35" w:rsidP="00121F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Pr="004F45E3">
          <w:rPr>
            <w:rStyle w:val="a4"/>
            <w:rFonts w:ascii="Times New Roman" w:hAnsi="Times New Roman" w:cs="Times New Roman"/>
            <w:b/>
            <w:color w:val="auto"/>
            <w:sz w:val="24"/>
            <w:szCs w:val="24"/>
          </w:rPr>
          <w:t>https://epp.genproc.gov.ru/web/proc_54</w:t>
        </w:r>
      </w:hyperlink>
      <w:r w:rsidR="004F45E3">
        <w:rPr>
          <w:b/>
          <w:sz w:val="24"/>
          <w:szCs w:val="24"/>
        </w:rPr>
        <w:t xml:space="preserve">  </w:t>
      </w:r>
    </w:p>
    <w:p w:rsidR="002B5488" w:rsidRPr="004F45E3" w:rsidRDefault="002B5488" w:rsidP="00121F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5488" w:rsidRPr="00121F35" w:rsidRDefault="002B5488" w:rsidP="00121F3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B5488" w:rsidRPr="00121F35" w:rsidRDefault="002B5488" w:rsidP="00121F35">
      <w:pPr>
        <w:spacing w:after="0" w:line="240" w:lineRule="auto"/>
        <w:ind w:firstLine="709"/>
        <w:rPr>
          <w:sz w:val="24"/>
          <w:szCs w:val="24"/>
        </w:rPr>
      </w:pPr>
    </w:p>
    <w:p w:rsidR="007B4713" w:rsidRPr="00121F35" w:rsidRDefault="007B4713" w:rsidP="00121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6C4E" w:rsidRPr="00121F35" w:rsidRDefault="00976C4E" w:rsidP="00121F35">
      <w:pPr>
        <w:spacing w:after="0" w:line="240" w:lineRule="auto"/>
        <w:ind w:firstLine="709"/>
        <w:rPr>
          <w:sz w:val="24"/>
          <w:szCs w:val="24"/>
        </w:rPr>
      </w:pPr>
    </w:p>
    <w:sectPr w:rsidR="00976C4E" w:rsidRPr="00121F35" w:rsidSect="00AC5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6F24"/>
    <w:rsid w:val="00121F35"/>
    <w:rsid w:val="002B5488"/>
    <w:rsid w:val="003B6F24"/>
    <w:rsid w:val="004C2E21"/>
    <w:rsid w:val="004F45E3"/>
    <w:rsid w:val="007B4713"/>
    <w:rsid w:val="00976C4E"/>
    <w:rsid w:val="00AC5E0B"/>
    <w:rsid w:val="00FA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E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3B6F24"/>
  </w:style>
  <w:style w:type="character" w:customStyle="1" w:styleId="feeds-pagenavigationtooltip">
    <w:name w:val="feeds-page__navigation_tooltip"/>
    <w:basedOn w:val="a0"/>
    <w:rsid w:val="003B6F24"/>
  </w:style>
  <w:style w:type="paragraph" w:styleId="a3">
    <w:name w:val="Normal (Web)"/>
    <w:basedOn w:val="a"/>
    <w:uiPriority w:val="99"/>
    <w:unhideWhenUsed/>
    <w:rsid w:val="003B6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4713"/>
    <w:rPr>
      <w:color w:val="0563C1" w:themeColor="hyperlink"/>
      <w:u w:val="single"/>
    </w:rPr>
  </w:style>
  <w:style w:type="paragraph" w:customStyle="1" w:styleId="paragraph">
    <w:name w:val="paragraph"/>
    <w:basedOn w:val="a"/>
    <w:rsid w:val="002B5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6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5152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314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2115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459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59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4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pp.genproc.gov.ru/web/proc_54" TargetMode="External"/><Relationship Id="rId5" Type="http://schemas.openxmlformats.org/officeDocument/2006/relationships/hyperlink" Target="https://t.me/prokuratura_nso" TargetMode="External"/><Relationship Id="rId4" Type="http://schemas.openxmlformats.org/officeDocument/2006/relationships/hyperlink" Target="https://vk.com/proc_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4310</Words>
  <Characters>24571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2023-02-25T15:14:00Z</dcterms:created>
  <dcterms:modified xsi:type="dcterms:W3CDTF">2023-04-05T08:05:00Z</dcterms:modified>
</cp:coreProperties>
</file>